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</w:tblGrid>
      <w:tr w:rsidR="00A839A5" w:rsidRPr="006D6A37" w:rsidTr="00F479B4">
        <w:trPr>
          <w:trHeight w:val="454"/>
          <w:jc w:val="center"/>
        </w:trPr>
        <w:tc>
          <w:tcPr>
            <w:tcW w:w="1696" w:type="dxa"/>
            <w:vAlign w:val="center"/>
          </w:tcPr>
          <w:p w:rsidR="00A839A5" w:rsidRPr="006D6A37" w:rsidRDefault="00A839A5" w:rsidP="00FB53D8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bookmarkStart w:id="0" w:name="_GoBack"/>
            <w:bookmarkEnd w:id="0"/>
            <w:r w:rsidRPr="006D6A37">
              <w:rPr>
                <w:rFonts w:ascii="Spranq eco sans" w:hAnsi="Spranq eco sans"/>
                <w:b/>
                <w:sz w:val="22"/>
                <w:szCs w:val="22"/>
              </w:rPr>
              <w:t>PROCESSO:</w:t>
            </w:r>
          </w:p>
        </w:tc>
        <w:tc>
          <w:tcPr>
            <w:tcW w:w="7088" w:type="dxa"/>
            <w:vAlign w:val="center"/>
          </w:tcPr>
          <w:p w:rsidR="00A839A5" w:rsidRPr="006D6A37" w:rsidRDefault="00B20E68" w:rsidP="007835AB">
            <w:pPr>
              <w:spacing w:after="120"/>
              <w:jc w:val="both"/>
              <w:rPr>
                <w:rFonts w:ascii="Spranq eco sans" w:hAnsi="Spranq eco sans"/>
                <w:sz w:val="22"/>
                <w:szCs w:val="22"/>
              </w:rPr>
            </w:pPr>
            <w:r w:rsidRPr="006D6A37">
              <w:rPr>
                <w:rFonts w:ascii="Spranq eco sans" w:hAnsi="Spranq eco sans"/>
                <w:sz w:val="22"/>
                <w:szCs w:val="22"/>
              </w:rPr>
              <w:t>PE</w:t>
            </w:r>
            <w:r w:rsidR="006829B2" w:rsidRPr="006D6A37">
              <w:rPr>
                <w:rFonts w:ascii="Spranq eco sans" w:hAnsi="Spranq eco sans"/>
                <w:sz w:val="22"/>
                <w:szCs w:val="22"/>
              </w:rPr>
              <w:t xml:space="preserve"> nº </w:t>
            </w:r>
            <w:r w:rsidRPr="006D6A37">
              <w:rPr>
                <w:rFonts w:ascii="Spranq eco sans" w:hAnsi="Spranq eco sans"/>
                <w:sz w:val="22"/>
                <w:szCs w:val="22"/>
              </w:rPr>
              <w:t>0</w:t>
            </w:r>
            <w:r w:rsidR="007835AB" w:rsidRPr="006D6A37">
              <w:rPr>
                <w:rFonts w:ascii="Spranq eco sans" w:hAnsi="Spranq eco sans"/>
                <w:sz w:val="22"/>
                <w:szCs w:val="22"/>
              </w:rPr>
              <w:t>78/2022</w:t>
            </w:r>
          </w:p>
        </w:tc>
      </w:tr>
      <w:tr w:rsidR="00A839A5" w:rsidRPr="006D6A37" w:rsidTr="00F479B4">
        <w:trPr>
          <w:trHeight w:val="454"/>
          <w:jc w:val="center"/>
        </w:trPr>
        <w:tc>
          <w:tcPr>
            <w:tcW w:w="1696" w:type="dxa"/>
            <w:vAlign w:val="center"/>
          </w:tcPr>
          <w:p w:rsidR="00A839A5" w:rsidRPr="006D6A37" w:rsidRDefault="00A839A5" w:rsidP="00FB53D8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r w:rsidRPr="006D6A37">
              <w:rPr>
                <w:rFonts w:ascii="Spranq eco sans" w:hAnsi="Spranq eco sans"/>
                <w:b/>
                <w:sz w:val="22"/>
                <w:szCs w:val="22"/>
              </w:rPr>
              <w:t>OBJETO:</w:t>
            </w:r>
          </w:p>
        </w:tc>
        <w:tc>
          <w:tcPr>
            <w:tcW w:w="7088" w:type="dxa"/>
            <w:vAlign w:val="center"/>
          </w:tcPr>
          <w:p w:rsidR="00A839A5" w:rsidRPr="006D6A37" w:rsidRDefault="007835AB" w:rsidP="007835AB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r w:rsidRPr="006D6A37">
              <w:rPr>
                <w:rFonts w:ascii="Spranq eco sans" w:hAnsi="Spranq eco sans"/>
                <w:sz w:val="22"/>
                <w:szCs w:val="22"/>
              </w:rPr>
              <w:t xml:space="preserve">Valor orçado pela empresa vencedora na fase interna inferior ao valor final </w:t>
            </w:r>
            <w:r w:rsidR="00B20E68" w:rsidRPr="006D6A37">
              <w:rPr>
                <w:rFonts w:ascii="Spranq eco sans" w:hAnsi="Spranq eco sans"/>
                <w:sz w:val="22"/>
                <w:szCs w:val="22"/>
              </w:rPr>
              <w:t xml:space="preserve">– </w:t>
            </w:r>
            <w:r w:rsidRPr="006D6A37">
              <w:rPr>
                <w:rFonts w:ascii="Spranq eco sans" w:hAnsi="Spranq eco sans"/>
                <w:sz w:val="22"/>
                <w:szCs w:val="22"/>
              </w:rPr>
              <w:t xml:space="preserve">orçamentos </w:t>
            </w:r>
            <w:r w:rsidR="00B20E68" w:rsidRPr="006D6A37">
              <w:rPr>
                <w:rFonts w:ascii="Spranq eco sans" w:hAnsi="Spranq eco sans"/>
                <w:sz w:val="22"/>
                <w:szCs w:val="22"/>
              </w:rPr>
              <w:t xml:space="preserve">juntados aos autos </w:t>
            </w:r>
            <w:r w:rsidRPr="006D6A37">
              <w:rPr>
                <w:rFonts w:ascii="Spranq eco sans" w:hAnsi="Spranq eco sans"/>
                <w:sz w:val="22"/>
                <w:szCs w:val="22"/>
              </w:rPr>
              <w:t>diferentes - ne</w:t>
            </w:r>
            <w:r w:rsidR="00B20E68" w:rsidRPr="006D6A37">
              <w:rPr>
                <w:rFonts w:ascii="Spranq eco sans" w:hAnsi="Spranq eco sans"/>
                <w:sz w:val="22"/>
                <w:szCs w:val="22"/>
              </w:rPr>
              <w:t>cessidade de refazimento do processo administrativo</w:t>
            </w:r>
          </w:p>
        </w:tc>
      </w:tr>
      <w:tr w:rsidR="00A839A5" w:rsidRPr="006D6A37" w:rsidTr="00F479B4">
        <w:trPr>
          <w:trHeight w:val="454"/>
          <w:jc w:val="center"/>
        </w:trPr>
        <w:tc>
          <w:tcPr>
            <w:tcW w:w="1696" w:type="dxa"/>
            <w:vAlign w:val="center"/>
          </w:tcPr>
          <w:p w:rsidR="00A839A5" w:rsidRPr="006D6A37" w:rsidRDefault="00A839A5" w:rsidP="00FB53D8">
            <w:pPr>
              <w:spacing w:after="120"/>
              <w:jc w:val="both"/>
              <w:rPr>
                <w:rFonts w:ascii="Spranq eco sans" w:hAnsi="Spranq eco sans"/>
                <w:b/>
                <w:sz w:val="22"/>
                <w:szCs w:val="22"/>
              </w:rPr>
            </w:pPr>
            <w:r w:rsidRPr="006D6A37">
              <w:rPr>
                <w:rFonts w:ascii="Spranq eco sans" w:hAnsi="Spranq eco sans"/>
                <w:b/>
                <w:sz w:val="22"/>
                <w:szCs w:val="22"/>
              </w:rPr>
              <w:t>PARTES:</w:t>
            </w:r>
          </w:p>
        </w:tc>
        <w:tc>
          <w:tcPr>
            <w:tcW w:w="7088" w:type="dxa"/>
            <w:vAlign w:val="center"/>
          </w:tcPr>
          <w:p w:rsidR="0086227F" w:rsidRPr="006D6A37" w:rsidRDefault="0062087A" w:rsidP="007835AB">
            <w:pPr>
              <w:spacing w:after="120"/>
              <w:jc w:val="both"/>
              <w:rPr>
                <w:rFonts w:ascii="Spranq eco sans" w:hAnsi="Spranq eco sans"/>
                <w:sz w:val="22"/>
                <w:szCs w:val="22"/>
              </w:rPr>
            </w:pPr>
            <w:r w:rsidRPr="006D6A37">
              <w:rPr>
                <w:rFonts w:ascii="Spranq eco sans" w:hAnsi="Spranq eco sans"/>
                <w:sz w:val="22"/>
                <w:szCs w:val="22"/>
              </w:rPr>
              <w:t xml:space="preserve">Secretaria </w:t>
            </w:r>
            <w:r w:rsidR="007835AB" w:rsidRPr="006D6A37">
              <w:rPr>
                <w:rFonts w:ascii="Spranq eco sans" w:hAnsi="Spranq eco sans"/>
                <w:sz w:val="22"/>
                <w:szCs w:val="22"/>
              </w:rPr>
              <w:t>Municipal do Esporte, Lazer, Cultura e Turismo</w:t>
            </w:r>
          </w:p>
        </w:tc>
      </w:tr>
    </w:tbl>
    <w:p w:rsidR="00F479B4" w:rsidRPr="006D6A37" w:rsidRDefault="00A839A5" w:rsidP="00FB53D8">
      <w:pPr>
        <w:spacing w:after="120"/>
        <w:jc w:val="both"/>
        <w:rPr>
          <w:rFonts w:ascii="Spranq eco sans" w:hAnsi="Spranq eco sans"/>
          <w:b/>
          <w:sz w:val="22"/>
          <w:szCs w:val="22"/>
        </w:rPr>
      </w:pPr>
      <w:r w:rsidRPr="006D6A37">
        <w:rPr>
          <w:rFonts w:ascii="Spranq eco sans" w:hAnsi="Spranq eco sans"/>
          <w:b/>
          <w:sz w:val="22"/>
          <w:szCs w:val="22"/>
        </w:rPr>
        <w:tab/>
      </w:r>
      <w:r w:rsidRPr="006D6A37">
        <w:rPr>
          <w:rFonts w:ascii="Spranq eco sans" w:hAnsi="Spranq eco sans"/>
          <w:b/>
          <w:sz w:val="22"/>
          <w:szCs w:val="22"/>
        </w:rPr>
        <w:tab/>
      </w:r>
    </w:p>
    <w:p w:rsidR="006367DC" w:rsidRPr="006D6A37" w:rsidRDefault="00F479B4" w:rsidP="00FB53D8">
      <w:pPr>
        <w:spacing w:after="120"/>
        <w:jc w:val="center"/>
        <w:rPr>
          <w:rFonts w:ascii="Spranq eco sans" w:hAnsi="Spranq eco sans"/>
          <w:b/>
          <w:sz w:val="22"/>
          <w:szCs w:val="22"/>
          <w:u w:val="single"/>
        </w:rPr>
      </w:pPr>
      <w:r w:rsidRPr="006D6A37">
        <w:rPr>
          <w:rFonts w:ascii="Spranq eco sans" w:hAnsi="Spranq eco sans"/>
          <w:b/>
          <w:sz w:val="22"/>
          <w:szCs w:val="22"/>
          <w:u w:val="single"/>
        </w:rPr>
        <w:t>PARECER</w:t>
      </w:r>
    </w:p>
    <w:p w:rsidR="00390485" w:rsidRPr="006D6A37" w:rsidRDefault="00390485" w:rsidP="00FB53D8">
      <w:pPr>
        <w:spacing w:after="120"/>
        <w:jc w:val="both"/>
        <w:rPr>
          <w:rFonts w:ascii="Spranq eco sans" w:hAnsi="Spranq eco sans"/>
          <w:b/>
          <w:sz w:val="22"/>
          <w:szCs w:val="22"/>
          <w:u w:val="single"/>
        </w:rPr>
      </w:pPr>
    </w:p>
    <w:p w:rsidR="00814A50" w:rsidRPr="006D6A37" w:rsidRDefault="00932D0B" w:rsidP="0062087A">
      <w:pPr>
        <w:spacing w:after="120"/>
        <w:ind w:firstLine="709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Chega para análise desta Procuradoria </w:t>
      </w:r>
      <w:r w:rsidR="0062087A" w:rsidRPr="006D6A37">
        <w:rPr>
          <w:rFonts w:ascii="Spranq eco sans" w:hAnsi="Spranq eco sans"/>
          <w:sz w:val="22"/>
          <w:szCs w:val="22"/>
        </w:rPr>
        <w:t xml:space="preserve">o </w:t>
      </w:r>
      <w:r w:rsidR="006829B2" w:rsidRPr="006D6A37">
        <w:rPr>
          <w:rFonts w:ascii="Spranq eco sans" w:hAnsi="Spranq eco sans"/>
          <w:sz w:val="22"/>
          <w:szCs w:val="22"/>
        </w:rPr>
        <w:t xml:space="preserve">presente feito após </w:t>
      </w:r>
      <w:r w:rsidR="007835AB" w:rsidRPr="006D6A37">
        <w:rPr>
          <w:rFonts w:ascii="Spranq eco sans" w:hAnsi="Spranq eco sans"/>
          <w:sz w:val="22"/>
          <w:szCs w:val="22"/>
        </w:rPr>
        <w:t xml:space="preserve">encerramento da fase de lances referente ao PE n. º 078/2022, onde constatou-se que </w:t>
      </w:r>
      <w:r w:rsidR="00814A50" w:rsidRPr="006D6A37">
        <w:rPr>
          <w:rFonts w:ascii="Spranq eco sans" w:hAnsi="Spranq eco sans"/>
          <w:sz w:val="22"/>
          <w:szCs w:val="22"/>
        </w:rPr>
        <w:t>o</w:t>
      </w:r>
      <w:r w:rsidR="007835AB" w:rsidRPr="006D6A37">
        <w:rPr>
          <w:rFonts w:ascii="Spranq eco sans" w:hAnsi="Spranq eco sans"/>
          <w:sz w:val="22"/>
          <w:szCs w:val="22"/>
        </w:rPr>
        <w:t xml:space="preserve"> valor ofertado pela empresa vencedora</w:t>
      </w:r>
      <w:r w:rsidR="00814A50" w:rsidRPr="006D6A37">
        <w:rPr>
          <w:rFonts w:ascii="Spranq eco sans" w:hAnsi="Spranq eco sans"/>
          <w:sz w:val="22"/>
          <w:szCs w:val="22"/>
        </w:rPr>
        <w:t xml:space="preserve"> era superior ao valor apresentado pela mesma em orçamento juntado na fase interna.</w:t>
      </w:r>
    </w:p>
    <w:p w:rsidR="00814A50" w:rsidRPr="006D6A37" w:rsidRDefault="00CE3D4B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Ao revisar os autos, a fim de analisar </w:t>
      </w:r>
      <w:r w:rsidR="0062087A" w:rsidRPr="006D6A37">
        <w:rPr>
          <w:rFonts w:ascii="Spranq eco sans" w:hAnsi="Spranq eco sans"/>
          <w:sz w:val="22"/>
          <w:szCs w:val="22"/>
        </w:rPr>
        <w:t xml:space="preserve">o </w:t>
      </w:r>
      <w:r w:rsidR="006829B2" w:rsidRPr="006D6A37">
        <w:rPr>
          <w:rFonts w:ascii="Spranq eco sans" w:hAnsi="Spranq eco sans"/>
          <w:sz w:val="22"/>
          <w:szCs w:val="22"/>
        </w:rPr>
        <w:t>processo</w:t>
      </w:r>
      <w:r w:rsidRPr="006D6A37">
        <w:rPr>
          <w:rFonts w:ascii="Spranq eco sans" w:hAnsi="Spranq eco sans"/>
          <w:sz w:val="22"/>
          <w:szCs w:val="22"/>
        </w:rPr>
        <w:t xml:space="preserve">, </w:t>
      </w:r>
      <w:r w:rsidR="00562D9E" w:rsidRPr="006D6A37">
        <w:rPr>
          <w:rFonts w:ascii="Spranq eco sans" w:hAnsi="Spranq eco sans"/>
          <w:sz w:val="22"/>
          <w:szCs w:val="22"/>
        </w:rPr>
        <w:t>se verifica</w:t>
      </w:r>
      <w:r w:rsidR="00814A50" w:rsidRPr="006D6A37">
        <w:rPr>
          <w:rFonts w:ascii="Spranq eco sans" w:hAnsi="Spranq eco sans"/>
          <w:sz w:val="22"/>
          <w:szCs w:val="22"/>
        </w:rPr>
        <w:t xml:space="preserve"> que o valor total da proposta final enviada pela empresa GRADINI INDÚSTRIA E COMÉRCIO DE PORTAS E ESCADAS LTDA., durante a sessão eletrônica ocorrida no dia 18/08/2022</w:t>
      </w:r>
      <w:r w:rsidR="00C40BD3" w:rsidRPr="006D6A37">
        <w:rPr>
          <w:rFonts w:ascii="Spranq eco sans" w:hAnsi="Spranq eco sans"/>
          <w:sz w:val="22"/>
          <w:szCs w:val="22"/>
        </w:rPr>
        <w:t>,</w:t>
      </w:r>
      <w:r w:rsidR="00814A50" w:rsidRPr="006D6A37">
        <w:rPr>
          <w:rFonts w:ascii="Spranq eco sans" w:hAnsi="Spranq eco sans"/>
          <w:sz w:val="22"/>
          <w:szCs w:val="22"/>
        </w:rPr>
        <w:t xml:space="preserve"> foi de R$57.00,00 (cinquenta e sete mil reais). Todavia, ao analisar os autos a fim de homologar o feito, se constatou que a mesma empresa havia enviado orçamento a esta Municipalidade no valor de R$48.604,06 (quarenta e oito mil seiscentos e quatro reais e seis centavos), na data de 22/07/2022.</w:t>
      </w:r>
    </w:p>
    <w:p w:rsidR="00562D9E" w:rsidRPr="006D6A37" w:rsidRDefault="00814A50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Diante disso, em contato com a empresa, a fim de verificar a diferença de valores, tomou-se conhecimento </w:t>
      </w:r>
      <w:r w:rsidR="003B16CC" w:rsidRPr="006D6A37">
        <w:rPr>
          <w:rFonts w:ascii="Spranq eco sans" w:hAnsi="Spranq eco sans"/>
          <w:sz w:val="22"/>
          <w:szCs w:val="22"/>
        </w:rPr>
        <w:t xml:space="preserve">de </w:t>
      </w:r>
      <w:r w:rsidRPr="006D6A37">
        <w:rPr>
          <w:rFonts w:ascii="Spranq eco sans" w:hAnsi="Spranq eco sans"/>
          <w:sz w:val="22"/>
          <w:szCs w:val="22"/>
        </w:rPr>
        <w:t xml:space="preserve">que </w:t>
      </w:r>
      <w:r w:rsidR="003B16CC" w:rsidRPr="006D6A37">
        <w:rPr>
          <w:rFonts w:ascii="Spranq eco sans" w:hAnsi="Spranq eco sans"/>
          <w:sz w:val="22"/>
          <w:szCs w:val="22"/>
        </w:rPr>
        <w:t xml:space="preserve">o primeiro orçamento encaminhado pela empresa GRADINI INDÚSTRIA E COMÉRCIO DE PORTAS E ESCADAS LTDA., em 22/07/2022, não incluía os serviços de </w:t>
      </w:r>
      <w:r w:rsidR="003B16CC" w:rsidRPr="006D6A37">
        <w:rPr>
          <w:rFonts w:ascii="Spranq eco sans" w:hAnsi="Spranq eco sans"/>
          <w:b/>
          <w:sz w:val="22"/>
          <w:szCs w:val="22"/>
        </w:rPr>
        <w:t>“</w:t>
      </w:r>
      <w:r w:rsidR="003B16CC" w:rsidRPr="006D6A37">
        <w:rPr>
          <w:rFonts w:ascii="Spranq eco sans" w:hAnsi="Spranq eco sans"/>
          <w:b/>
          <w:i/>
          <w:sz w:val="22"/>
          <w:szCs w:val="22"/>
        </w:rPr>
        <w:t>remoção da porta existente pela empresa contratada”</w:t>
      </w:r>
      <w:r w:rsidR="003B16CC" w:rsidRPr="006D6A37">
        <w:rPr>
          <w:rFonts w:ascii="Spranq eco sans" w:hAnsi="Spranq eco sans"/>
          <w:sz w:val="22"/>
          <w:szCs w:val="22"/>
        </w:rPr>
        <w:t>; ao contrário, dispõe o orçamento em seu item “</w:t>
      </w:r>
      <w:r w:rsidR="003B16CC" w:rsidRPr="006D6A37">
        <w:rPr>
          <w:rFonts w:ascii="Spranq eco sans" w:hAnsi="Spranq eco sans"/>
          <w:b/>
          <w:i/>
          <w:sz w:val="22"/>
          <w:szCs w:val="22"/>
        </w:rPr>
        <w:t>11. Não está incluso despesas com as remoções de portas já existentes”</w:t>
      </w:r>
      <w:r w:rsidR="003B16CC" w:rsidRPr="006D6A37">
        <w:rPr>
          <w:rFonts w:ascii="Spranq eco sans" w:hAnsi="Spranq eco sans"/>
          <w:sz w:val="22"/>
          <w:szCs w:val="22"/>
        </w:rPr>
        <w:t>.</w:t>
      </w:r>
    </w:p>
    <w:p w:rsidR="006829B2" w:rsidRPr="006D6A37" w:rsidRDefault="00C40BD3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i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Considerando que o pedido de compras da Secretaria Munic</w:t>
      </w:r>
      <w:r w:rsidR="005710D7" w:rsidRPr="006D6A37">
        <w:rPr>
          <w:rFonts w:ascii="Spranq eco sans" w:hAnsi="Spranq eco sans"/>
          <w:sz w:val="22"/>
          <w:szCs w:val="22"/>
        </w:rPr>
        <w:t>i</w:t>
      </w:r>
      <w:r w:rsidRPr="006D6A37">
        <w:rPr>
          <w:rFonts w:ascii="Spranq eco sans" w:hAnsi="Spranq eco sans"/>
          <w:sz w:val="22"/>
          <w:szCs w:val="22"/>
        </w:rPr>
        <w:t>pal d</w:t>
      </w:r>
      <w:r w:rsidR="005710D7" w:rsidRPr="006D6A37">
        <w:rPr>
          <w:rFonts w:ascii="Spranq eco sans" w:hAnsi="Spranq eco sans"/>
          <w:sz w:val="22"/>
          <w:szCs w:val="22"/>
        </w:rPr>
        <w:t>o</w:t>
      </w:r>
      <w:r w:rsidRPr="006D6A37">
        <w:rPr>
          <w:rFonts w:ascii="Spranq eco sans" w:hAnsi="Spranq eco sans"/>
          <w:sz w:val="22"/>
          <w:szCs w:val="22"/>
        </w:rPr>
        <w:t xml:space="preserve"> Esport</w:t>
      </w:r>
      <w:r w:rsidR="005710D7" w:rsidRPr="006D6A37">
        <w:rPr>
          <w:rFonts w:ascii="Spranq eco sans" w:hAnsi="Spranq eco sans"/>
          <w:sz w:val="22"/>
          <w:szCs w:val="22"/>
        </w:rPr>
        <w:t xml:space="preserve">e, Lazer, Cultura e Turismo, nos itens 01 e 02, apresenta na parte final: </w:t>
      </w:r>
      <w:r w:rsidR="005710D7" w:rsidRPr="006D6A37">
        <w:rPr>
          <w:rFonts w:ascii="Spranq eco sans" w:hAnsi="Spranq eco sans"/>
          <w:b/>
          <w:i/>
          <w:sz w:val="22"/>
          <w:szCs w:val="22"/>
        </w:rPr>
        <w:t>“- Após a remoção da porta existente pela empresa contratada</w:t>
      </w:r>
      <w:r w:rsidR="005710D7" w:rsidRPr="006D6A37">
        <w:rPr>
          <w:rFonts w:ascii="Spranq eco sans" w:hAnsi="Spranq eco sans"/>
          <w:i/>
          <w:sz w:val="22"/>
          <w:szCs w:val="22"/>
        </w:rPr>
        <w:t xml:space="preserve"> fica sob a responsabilidade do Município o transporte aguarda da mesma em local </w:t>
      </w:r>
      <w:proofErr w:type="gramStart"/>
      <w:r w:rsidR="005710D7" w:rsidRPr="006D6A37">
        <w:rPr>
          <w:rFonts w:ascii="Spranq eco sans" w:hAnsi="Spranq eco sans"/>
          <w:i/>
          <w:sz w:val="22"/>
          <w:szCs w:val="22"/>
        </w:rPr>
        <w:t>seguro.”</w:t>
      </w:r>
      <w:proofErr w:type="gramEnd"/>
      <w:r w:rsidR="005710D7" w:rsidRPr="006D6A37">
        <w:rPr>
          <w:rFonts w:ascii="Spranq eco sans" w:hAnsi="Spranq eco sans"/>
          <w:sz w:val="22"/>
          <w:szCs w:val="22"/>
        </w:rPr>
        <w:t xml:space="preserve">, </w:t>
      </w:r>
      <w:r w:rsidR="003B16CC" w:rsidRPr="006D6A37">
        <w:rPr>
          <w:rFonts w:ascii="Spranq eco sans" w:hAnsi="Spranq eco sans"/>
          <w:sz w:val="22"/>
          <w:szCs w:val="22"/>
        </w:rPr>
        <w:t xml:space="preserve">fica claro que o valor de referência do </w:t>
      </w:r>
      <w:r w:rsidR="003B16CC" w:rsidRPr="006D6A37">
        <w:rPr>
          <w:rFonts w:ascii="Spranq eco sans" w:hAnsi="Spranq eco sans"/>
          <w:sz w:val="22"/>
          <w:szCs w:val="22"/>
        </w:rPr>
        <w:lastRenderedPageBreak/>
        <w:t xml:space="preserve">presente processo licitatório foi feito com base em orçamento equivocado, ou seja, </w:t>
      </w:r>
      <w:r w:rsidR="00210251" w:rsidRPr="006D6A37">
        <w:rPr>
          <w:rFonts w:ascii="Spranq eco sans" w:hAnsi="Spranq eco sans"/>
          <w:sz w:val="22"/>
          <w:szCs w:val="22"/>
        </w:rPr>
        <w:t xml:space="preserve">a Administração </w:t>
      </w:r>
      <w:r w:rsidR="003B16CC" w:rsidRPr="006D6A37">
        <w:rPr>
          <w:rFonts w:ascii="Spranq eco sans" w:hAnsi="Spranq eco sans"/>
          <w:sz w:val="22"/>
          <w:szCs w:val="22"/>
        </w:rPr>
        <w:t xml:space="preserve">se utilizou de orçamento que não continha o descritivo correto. </w:t>
      </w:r>
      <w:r w:rsidR="000A2332" w:rsidRPr="006D6A37">
        <w:rPr>
          <w:rFonts w:ascii="Spranq eco sans" w:hAnsi="Spranq eco sans"/>
          <w:sz w:val="22"/>
          <w:szCs w:val="22"/>
        </w:rPr>
        <w:t xml:space="preserve">Assim, verificou-se que </w:t>
      </w:r>
      <w:r w:rsidR="003B16CC" w:rsidRPr="006D6A37">
        <w:rPr>
          <w:rFonts w:ascii="Spranq eco sans" w:hAnsi="Spranq eco sans"/>
          <w:sz w:val="22"/>
          <w:szCs w:val="22"/>
        </w:rPr>
        <w:t xml:space="preserve">orçamentos </w:t>
      </w:r>
      <w:r w:rsidR="000A2332" w:rsidRPr="006D6A37">
        <w:rPr>
          <w:rFonts w:ascii="Spranq eco sans" w:hAnsi="Spranq eco sans"/>
          <w:sz w:val="22"/>
          <w:szCs w:val="22"/>
        </w:rPr>
        <w:t xml:space="preserve">coletados na fase interna apresentavam diferenças que alteraram o real valor do objeto a ser licitado. </w:t>
      </w:r>
      <w:r w:rsidR="006829B2" w:rsidRPr="006D6A37">
        <w:rPr>
          <w:rFonts w:ascii="Spranq eco sans" w:hAnsi="Spranq eco sans"/>
          <w:sz w:val="22"/>
          <w:szCs w:val="22"/>
        </w:rPr>
        <w:t xml:space="preserve">Segundo Marçal </w:t>
      </w:r>
      <w:proofErr w:type="spellStart"/>
      <w:r w:rsidR="006829B2" w:rsidRPr="006D6A37">
        <w:rPr>
          <w:rFonts w:ascii="Spranq eco sans" w:hAnsi="Spranq eco sans"/>
          <w:sz w:val="22"/>
          <w:szCs w:val="22"/>
        </w:rPr>
        <w:t>Justen</w:t>
      </w:r>
      <w:proofErr w:type="spellEnd"/>
      <w:r w:rsidR="006829B2" w:rsidRPr="006D6A37">
        <w:rPr>
          <w:rFonts w:ascii="Spranq eco sans" w:hAnsi="Spranq eco sans"/>
          <w:sz w:val="22"/>
          <w:szCs w:val="22"/>
        </w:rPr>
        <w:t xml:space="preserve"> Filho, </w:t>
      </w:r>
      <w:r w:rsidR="006829B2" w:rsidRPr="006D6A37">
        <w:rPr>
          <w:rFonts w:ascii="Spranq eco sans" w:hAnsi="Spranq eco sans"/>
          <w:i/>
          <w:sz w:val="22"/>
          <w:szCs w:val="22"/>
        </w:rPr>
        <w:t>a descrição do objeto da licitação contida no edital não pode deixar margem a qualquer dúvida nem admite complementação a posteriori.</w:t>
      </w:r>
      <w:r w:rsidR="00156AD8" w:rsidRPr="006D6A37">
        <w:rPr>
          <w:rStyle w:val="Refdenotaderodap"/>
          <w:rFonts w:ascii="Spranq eco sans" w:hAnsi="Spranq eco sans"/>
          <w:i/>
          <w:sz w:val="22"/>
          <w:szCs w:val="22"/>
        </w:rPr>
        <w:footnoteReference w:id="1"/>
      </w:r>
      <w:r w:rsidR="00156AD8" w:rsidRPr="006D6A37">
        <w:rPr>
          <w:rFonts w:ascii="Spranq eco sans" w:hAnsi="Spranq eco sans"/>
          <w:i/>
          <w:sz w:val="22"/>
          <w:szCs w:val="22"/>
        </w:rPr>
        <w:t xml:space="preserve"> </w:t>
      </w:r>
    </w:p>
    <w:p w:rsidR="00156AD8" w:rsidRPr="006D6A37" w:rsidRDefault="00156AD8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No mesmo sentido é a súmula 177 do TCU:</w:t>
      </w:r>
    </w:p>
    <w:p w:rsidR="0036696C" w:rsidRPr="006D6A37" w:rsidRDefault="0036696C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</w:p>
    <w:p w:rsidR="00156AD8" w:rsidRPr="006D6A37" w:rsidRDefault="00156AD8" w:rsidP="00156AD8">
      <w:pPr>
        <w:pStyle w:val="PargrafodaLista"/>
        <w:spacing w:after="120"/>
        <w:ind w:left="2268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uma das especificações mínimas e essenciais à definição do objeto do pregão.</w:t>
      </w:r>
    </w:p>
    <w:p w:rsidR="0036696C" w:rsidRPr="006D6A37" w:rsidRDefault="0036696C" w:rsidP="00156AD8">
      <w:pPr>
        <w:pStyle w:val="PargrafodaLista"/>
        <w:spacing w:after="120"/>
        <w:ind w:left="2268"/>
        <w:contextualSpacing w:val="0"/>
        <w:jc w:val="both"/>
        <w:rPr>
          <w:rFonts w:ascii="Spranq eco sans" w:hAnsi="Spranq eco sans"/>
          <w:sz w:val="22"/>
          <w:szCs w:val="22"/>
        </w:rPr>
      </w:pPr>
    </w:p>
    <w:p w:rsidR="00434A32" w:rsidRPr="006D6A37" w:rsidRDefault="00210251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Diante isso, se constatou diversidade do objeto a ser licitado, em relação aos orçamentos solicitados. </w:t>
      </w:r>
      <w:r w:rsidR="00434A32" w:rsidRPr="006D6A37">
        <w:rPr>
          <w:rFonts w:ascii="Spranq eco sans" w:hAnsi="Spranq eco sans"/>
          <w:sz w:val="22"/>
          <w:szCs w:val="22"/>
        </w:rPr>
        <w:t>Logo, imperiosa se faz a anulação do presente edital em virtude do princípio da autotutela.</w:t>
      </w:r>
    </w:p>
    <w:p w:rsidR="003F719F" w:rsidRPr="006D6A37" w:rsidRDefault="003F719F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i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Nos termos do artigo 49, da Lei nº 8.666/93, </w:t>
      </w:r>
      <w:r w:rsidRPr="006D6A37">
        <w:rPr>
          <w:rFonts w:ascii="Spranq eco sans" w:hAnsi="Spranq eco sans"/>
          <w:i/>
          <w:sz w:val="22"/>
          <w:szCs w:val="22"/>
        </w:rPr>
        <w:t>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</w:t>
      </w:r>
    </w:p>
    <w:p w:rsidR="003F719F" w:rsidRPr="006D6A37" w:rsidRDefault="003F719F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Tal premissa tem respaldo no princípio da autotutela da Administração Pública. Nas palavras de Alexandre </w:t>
      </w:r>
      <w:proofErr w:type="spellStart"/>
      <w:r w:rsidRPr="006D6A37">
        <w:rPr>
          <w:rFonts w:ascii="Spranq eco sans" w:hAnsi="Spranq eco sans"/>
          <w:sz w:val="22"/>
          <w:szCs w:val="22"/>
        </w:rPr>
        <w:t>Mazza</w:t>
      </w:r>
      <w:proofErr w:type="spellEnd"/>
      <w:r w:rsidRPr="006D6A37">
        <w:rPr>
          <w:rStyle w:val="Refdenotaderodap"/>
          <w:rFonts w:ascii="Spranq eco sans" w:hAnsi="Spranq eco sans"/>
          <w:sz w:val="22"/>
          <w:szCs w:val="22"/>
        </w:rPr>
        <w:footnoteReference w:id="2"/>
      </w:r>
      <w:r w:rsidRPr="006D6A37">
        <w:rPr>
          <w:rFonts w:ascii="Spranq eco sans" w:hAnsi="Spranq eco sans"/>
          <w:sz w:val="22"/>
          <w:szCs w:val="22"/>
        </w:rPr>
        <w:t>:</w:t>
      </w:r>
    </w:p>
    <w:p w:rsidR="00784A45" w:rsidRPr="006D6A37" w:rsidRDefault="00784A45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</w:p>
    <w:p w:rsidR="00784A45" w:rsidRPr="006D6A37" w:rsidRDefault="00784A45" w:rsidP="00FB53D8">
      <w:pPr>
        <w:pStyle w:val="PargrafodaLista"/>
        <w:spacing w:after="120"/>
        <w:ind w:left="2268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lastRenderedPageBreak/>
        <w:t>O princípio da autotutela consagra o controle</w:t>
      </w:r>
      <w:r w:rsidR="00177BC1" w:rsidRPr="006D6A37">
        <w:rPr>
          <w:rFonts w:ascii="Spranq eco sans" w:hAnsi="Spranq eco sans"/>
          <w:sz w:val="22"/>
          <w:szCs w:val="22"/>
        </w:rPr>
        <w:t xml:space="preserve"> interno que a Administração Pú</w:t>
      </w:r>
      <w:r w:rsidRPr="006D6A37">
        <w:rPr>
          <w:rFonts w:ascii="Spranq eco sans" w:hAnsi="Spranq eco sans"/>
          <w:sz w:val="22"/>
          <w:szCs w:val="22"/>
        </w:rPr>
        <w:t>blica exerce sob</w:t>
      </w:r>
      <w:r w:rsidR="00177BC1" w:rsidRPr="006D6A37">
        <w:rPr>
          <w:rFonts w:ascii="Spranq eco sans" w:hAnsi="Spranq eco sans"/>
          <w:sz w:val="22"/>
          <w:szCs w:val="22"/>
        </w:rPr>
        <w:t>re seus próprios atos. Como con</w:t>
      </w:r>
      <w:r w:rsidRPr="006D6A37">
        <w:rPr>
          <w:rFonts w:ascii="Spranq eco sans" w:hAnsi="Spranq eco sans"/>
          <w:sz w:val="22"/>
          <w:szCs w:val="22"/>
        </w:rPr>
        <w:t>sequência da sua independência funcional (art. 2º da CF), a Administração não precisa recorrer ao Judiciário para anular seus atos ilegais e revogar os atos inconvenientes que pratica. Consiste no poder-dever de retirada de atos administrativos por meio da anulação e da revogação. A anulação envolve problema de legalidade, a revogação trata de mérito do ato.</w:t>
      </w:r>
    </w:p>
    <w:p w:rsidR="00784A45" w:rsidRPr="006D6A37" w:rsidRDefault="00784A45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</w:p>
    <w:p w:rsidR="00784A45" w:rsidRPr="006D6A37" w:rsidRDefault="003F719F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Ou seja, a aplicação do princípio possibilita que a Administração Pública controle seus atos, anulando os ilegais e revogando os inconvenientes e importunos. Tal entendimento está sumulado pelo Supremo Tribunal Federal em duas súmulas:</w:t>
      </w:r>
    </w:p>
    <w:p w:rsidR="003F719F" w:rsidRPr="006D6A37" w:rsidRDefault="003F719F" w:rsidP="00FB53D8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</w:p>
    <w:p w:rsidR="003F719F" w:rsidRPr="006D6A37" w:rsidRDefault="003F719F" w:rsidP="00FB53D8">
      <w:pPr>
        <w:pStyle w:val="Citao"/>
        <w:spacing w:after="120"/>
        <w:ind w:left="2268"/>
        <w:rPr>
          <w:rFonts w:ascii="Spranq eco sans" w:hAnsi="Spranq eco sans"/>
          <w:i w:val="0"/>
        </w:rPr>
      </w:pPr>
      <w:r w:rsidRPr="006D6A37">
        <w:rPr>
          <w:rFonts w:ascii="Spranq eco sans" w:hAnsi="Spranq eco sans"/>
          <w:i w:val="0"/>
        </w:rPr>
        <w:t>Súmula nº 346: A Administração Pública pode declarar a nulidade dos seus próprios atos.</w:t>
      </w:r>
    </w:p>
    <w:p w:rsidR="003F719F" w:rsidRPr="006D6A37" w:rsidRDefault="003F719F" w:rsidP="00FB53D8">
      <w:pPr>
        <w:pStyle w:val="Citao"/>
        <w:suppressAutoHyphens/>
        <w:spacing w:after="120"/>
        <w:ind w:left="2268"/>
        <w:rPr>
          <w:rFonts w:ascii="Spranq eco sans" w:hAnsi="Spranq eco sans"/>
          <w:i w:val="0"/>
        </w:rPr>
      </w:pPr>
      <w:r w:rsidRPr="006D6A37">
        <w:rPr>
          <w:rFonts w:ascii="Spranq eco sans" w:hAnsi="Spranq eco sans"/>
          <w:i w:val="0"/>
        </w:rPr>
        <w:t>Súmula nº 473: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</w:t>
      </w:r>
    </w:p>
    <w:p w:rsidR="003F719F" w:rsidRPr="006D6A37" w:rsidRDefault="003F719F" w:rsidP="00FB53D8">
      <w:pPr>
        <w:pStyle w:val="Citao"/>
        <w:suppressAutoHyphens/>
        <w:spacing w:after="120"/>
      </w:pPr>
    </w:p>
    <w:p w:rsidR="00784A45" w:rsidRPr="006D6A37" w:rsidRDefault="003875A6" w:rsidP="00FB53D8">
      <w:pPr>
        <w:pStyle w:val="PargrafodaLista"/>
        <w:spacing w:after="120"/>
        <w:ind w:left="0" w:firstLine="851"/>
        <w:contextualSpacing w:val="0"/>
        <w:jc w:val="both"/>
        <w:rPr>
          <w:rFonts w:ascii="Spranq eco sans" w:hAnsi="Spranq eco sans"/>
          <w:i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Assim, como bem colocado pelo autor José dos Santos Carvalho Filho</w:t>
      </w:r>
      <w:r w:rsidRPr="006D6A37">
        <w:rPr>
          <w:rStyle w:val="Refdenotaderodap"/>
          <w:rFonts w:ascii="Spranq eco sans" w:hAnsi="Spranq eco sans"/>
          <w:sz w:val="22"/>
          <w:szCs w:val="22"/>
        </w:rPr>
        <w:footnoteReference w:id="3"/>
      </w:r>
      <w:r w:rsidRPr="006D6A37">
        <w:rPr>
          <w:rFonts w:ascii="Spranq eco sans" w:hAnsi="Spranq eco sans"/>
          <w:sz w:val="22"/>
          <w:szCs w:val="22"/>
        </w:rPr>
        <w:t>, o princípio da autotutela</w:t>
      </w:r>
      <w:r w:rsidRPr="006D6A37">
        <w:rPr>
          <w:rFonts w:ascii="Spranq eco sans" w:hAnsi="Spranq eco sans"/>
          <w:i/>
          <w:sz w:val="22"/>
          <w:szCs w:val="22"/>
        </w:rPr>
        <w:t xml:space="preserve"> não se trata apenas de uma faculdade, mas também de um dever, pois que não se pode admitir que, diante de situações irregulares, </w:t>
      </w:r>
      <w:r w:rsidRPr="006D6A37">
        <w:rPr>
          <w:rFonts w:ascii="Spranq eco sans" w:hAnsi="Spranq eco sans"/>
          <w:sz w:val="22"/>
          <w:szCs w:val="22"/>
        </w:rPr>
        <w:t>a Administração Pública</w:t>
      </w:r>
      <w:r w:rsidRPr="006D6A37">
        <w:rPr>
          <w:rFonts w:ascii="Spranq eco sans" w:hAnsi="Spranq eco sans"/>
          <w:i/>
          <w:sz w:val="22"/>
          <w:szCs w:val="22"/>
        </w:rPr>
        <w:t xml:space="preserve"> permaneça inerte e desinteressada. Na verdade, só restaurando a situação de regularidade é que a Administração observa o princípio da legalidade, do qual a autotutela é um dos mais importantes corolários.</w:t>
      </w:r>
    </w:p>
    <w:p w:rsidR="00114320" w:rsidRPr="006D6A37" w:rsidRDefault="00114320" w:rsidP="00114320">
      <w:pPr>
        <w:pStyle w:val="PargrafodaLista"/>
        <w:spacing w:after="120"/>
        <w:ind w:left="0" w:firstLine="1276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lastRenderedPageBreak/>
        <w:t xml:space="preserve">Desta forma, exercendo o princípio da autotutela, sugiro a </w:t>
      </w:r>
      <w:r w:rsidRPr="006D6A37">
        <w:rPr>
          <w:rFonts w:ascii="Spranq eco sans" w:hAnsi="Spranq eco sans"/>
          <w:b/>
          <w:sz w:val="22"/>
          <w:szCs w:val="22"/>
        </w:rPr>
        <w:t>ANULAÇÃO do edital,</w:t>
      </w:r>
      <w:r w:rsidRPr="006D6A37">
        <w:rPr>
          <w:rFonts w:ascii="Spranq eco sans" w:hAnsi="Spranq eco sans"/>
          <w:sz w:val="22"/>
          <w:szCs w:val="22"/>
        </w:rPr>
        <w:t xml:space="preserve"> e todos os atos posteriores aos pedidos de orçamento, visto que existem conflitos de dados insanáveis, não podendo haver o correto prosseguimento, nem sendo possível a sua convalidação. O processo como um todo pode e deve ser revisto, a fim de verificar o que pode ser reaproveitado.</w:t>
      </w:r>
    </w:p>
    <w:p w:rsidR="00114320" w:rsidRPr="006D6A37" w:rsidRDefault="00114320" w:rsidP="00114320">
      <w:pPr>
        <w:pStyle w:val="PargrafodaLista"/>
        <w:spacing w:after="120"/>
        <w:ind w:left="0" w:firstLine="1276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Contudo, antes de realizada a anulação do edital PE nº: 078/2022, imperioso se faz o cumprimento do previsto no art. 49, § 3º, da Lei nº 8.666/93 que em caso de “desfazimento do processo licitatório, fica assegurado o contraditório e a ampla defesa”. Logo, deve ser dado o direito de defesa a empresa vencedora.</w:t>
      </w:r>
    </w:p>
    <w:p w:rsidR="00114320" w:rsidRPr="006D6A37" w:rsidRDefault="00114320" w:rsidP="00114320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Desde já, resta prejudicada a aplicação de qualquer sanção a empresa vencedora, visto que o fato que deu originou a anulação foi causado pela própria Administração.</w:t>
      </w:r>
    </w:p>
    <w:p w:rsidR="0020531B" w:rsidRPr="006D6A37" w:rsidRDefault="00A13413" w:rsidP="00114320">
      <w:pPr>
        <w:pStyle w:val="PargrafodaLista"/>
        <w:spacing w:after="120"/>
        <w:ind w:left="0" w:firstLine="709"/>
        <w:contextualSpacing w:val="0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b/>
          <w:sz w:val="22"/>
          <w:szCs w:val="22"/>
        </w:rPr>
        <w:t>DIANTE DO EXPOSTO</w:t>
      </w:r>
      <w:r w:rsidR="00A7169F" w:rsidRPr="006D6A37">
        <w:rPr>
          <w:rFonts w:ascii="Spranq eco sans" w:hAnsi="Spranq eco sans"/>
          <w:b/>
          <w:sz w:val="22"/>
          <w:szCs w:val="22"/>
        </w:rPr>
        <w:t xml:space="preserve">, </w:t>
      </w:r>
      <w:r w:rsidR="0020531B" w:rsidRPr="006D6A37">
        <w:rPr>
          <w:rFonts w:ascii="Spranq eco sans" w:hAnsi="Spranq eco sans"/>
          <w:b/>
          <w:sz w:val="22"/>
          <w:szCs w:val="22"/>
        </w:rPr>
        <w:t>opino pela</w:t>
      </w:r>
      <w:r w:rsidR="000A2332" w:rsidRPr="006D6A37">
        <w:rPr>
          <w:rFonts w:ascii="Spranq eco sans" w:hAnsi="Spranq eco sans"/>
          <w:b/>
          <w:sz w:val="22"/>
          <w:szCs w:val="22"/>
        </w:rPr>
        <w:t xml:space="preserve"> possibilidade de </w:t>
      </w:r>
      <w:r w:rsidR="00FB53D8" w:rsidRPr="006D6A37">
        <w:rPr>
          <w:rFonts w:ascii="Spranq eco sans" w:hAnsi="Spranq eco sans"/>
          <w:b/>
          <w:sz w:val="22"/>
          <w:szCs w:val="22"/>
        </w:rPr>
        <w:t>ANULAÇÃO</w:t>
      </w:r>
      <w:r w:rsidR="0020531B" w:rsidRPr="006D6A37">
        <w:rPr>
          <w:rFonts w:ascii="Spranq eco sans" w:hAnsi="Spranq eco sans"/>
          <w:b/>
          <w:sz w:val="22"/>
          <w:szCs w:val="22"/>
        </w:rPr>
        <w:t xml:space="preserve"> do presente </w:t>
      </w:r>
      <w:r w:rsidR="000A2332" w:rsidRPr="006D6A37">
        <w:rPr>
          <w:rFonts w:ascii="Spranq eco sans" w:hAnsi="Spranq eco sans"/>
          <w:b/>
          <w:sz w:val="22"/>
          <w:szCs w:val="22"/>
        </w:rPr>
        <w:t>processo licitatório</w:t>
      </w:r>
      <w:r w:rsidR="0020531B" w:rsidRPr="006D6A37">
        <w:rPr>
          <w:rFonts w:ascii="Spranq eco sans" w:hAnsi="Spranq eco sans"/>
          <w:b/>
          <w:sz w:val="22"/>
          <w:szCs w:val="22"/>
        </w:rPr>
        <w:t xml:space="preserve">, </w:t>
      </w:r>
      <w:r w:rsidR="00FB53D8" w:rsidRPr="006D6A37">
        <w:rPr>
          <w:rFonts w:ascii="Spranq eco sans" w:hAnsi="Spranq eco sans"/>
          <w:b/>
          <w:sz w:val="22"/>
          <w:szCs w:val="22"/>
        </w:rPr>
        <w:t xml:space="preserve">devendo </w:t>
      </w:r>
      <w:r w:rsidR="000A2332" w:rsidRPr="006D6A37">
        <w:rPr>
          <w:rFonts w:ascii="Spranq eco sans" w:hAnsi="Spranq eco sans"/>
          <w:b/>
          <w:sz w:val="22"/>
          <w:szCs w:val="22"/>
        </w:rPr>
        <w:t xml:space="preserve">haver a expressa concordância da Autoridade Competente, ante a previsão do artigo 49 da Lei de Licitações, </w:t>
      </w:r>
      <w:r w:rsidR="00FB53D8" w:rsidRPr="006D6A37">
        <w:rPr>
          <w:rFonts w:ascii="Spranq eco sans" w:hAnsi="Spranq eco sans"/>
          <w:b/>
          <w:sz w:val="22"/>
          <w:szCs w:val="22"/>
        </w:rPr>
        <w:t>com a devid</w:t>
      </w:r>
      <w:r w:rsidR="00F34AF9" w:rsidRPr="006D6A37">
        <w:rPr>
          <w:rFonts w:ascii="Spranq eco sans" w:hAnsi="Spranq eco sans"/>
          <w:b/>
          <w:sz w:val="22"/>
          <w:szCs w:val="22"/>
        </w:rPr>
        <w:t>a</w:t>
      </w:r>
      <w:r w:rsidR="00FB53D8" w:rsidRPr="006D6A37">
        <w:rPr>
          <w:rFonts w:ascii="Spranq eco sans" w:hAnsi="Spranq eco sans"/>
          <w:b/>
          <w:sz w:val="22"/>
          <w:szCs w:val="22"/>
        </w:rPr>
        <w:t xml:space="preserve"> </w:t>
      </w:r>
      <w:r w:rsidR="00F34AF9" w:rsidRPr="006D6A37">
        <w:rPr>
          <w:rFonts w:ascii="Spranq eco sans" w:hAnsi="Spranq eco sans"/>
          <w:b/>
          <w:sz w:val="22"/>
          <w:szCs w:val="22"/>
        </w:rPr>
        <w:t>reformulação</w:t>
      </w:r>
      <w:r w:rsidR="00FB53D8" w:rsidRPr="006D6A37">
        <w:rPr>
          <w:rFonts w:ascii="Spranq eco sans" w:hAnsi="Spranq eco sans"/>
          <w:b/>
          <w:sz w:val="22"/>
          <w:szCs w:val="22"/>
        </w:rPr>
        <w:t xml:space="preserve"> do mesmo</w:t>
      </w:r>
      <w:r w:rsidR="00F34AF9" w:rsidRPr="006D6A37">
        <w:rPr>
          <w:rFonts w:ascii="Spranq eco sans" w:hAnsi="Spranq eco sans"/>
          <w:b/>
          <w:sz w:val="22"/>
          <w:szCs w:val="22"/>
        </w:rPr>
        <w:t>.</w:t>
      </w:r>
    </w:p>
    <w:p w:rsidR="006367DC" w:rsidRPr="006D6A37" w:rsidRDefault="006367DC" w:rsidP="0062087A">
      <w:pPr>
        <w:tabs>
          <w:tab w:val="left" w:pos="3214"/>
        </w:tabs>
        <w:ind w:firstLine="709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É o parecer. </w:t>
      </w:r>
      <w:r w:rsidR="00F94B34" w:rsidRPr="006D6A37">
        <w:rPr>
          <w:rFonts w:ascii="Spranq eco sans" w:hAnsi="Spranq eco sans"/>
          <w:sz w:val="22"/>
          <w:szCs w:val="22"/>
        </w:rPr>
        <w:tab/>
      </w:r>
    </w:p>
    <w:p w:rsidR="006367DC" w:rsidRPr="006D6A37" w:rsidRDefault="00A13413" w:rsidP="0062087A">
      <w:pPr>
        <w:ind w:firstLine="709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À Autoridade competente</w:t>
      </w:r>
      <w:r w:rsidR="00B738DB" w:rsidRPr="006D6A37">
        <w:rPr>
          <w:rFonts w:ascii="Spranq eco sans" w:hAnsi="Spranq eco sans"/>
          <w:sz w:val="22"/>
          <w:szCs w:val="22"/>
        </w:rPr>
        <w:t>.</w:t>
      </w:r>
      <w:r w:rsidR="006367DC" w:rsidRPr="006D6A37">
        <w:rPr>
          <w:rFonts w:ascii="Spranq eco sans" w:hAnsi="Spranq eco sans"/>
          <w:sz w:val="22"/>
          <w:szCs w:val="22"/>
        </w:rPr>
        <w:t xml:space="preserve"> </w:t>
      </w:r>
    </w:p>
    <w:p w:rsidR="005D472A" w:rsidRPr="006D6A37" w:rsidRDefault="005D472A" w:rsidP="0062087A">
      <w:pPr>
        <w:ind w:firstLine="709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>Após publique-se a decisão tomada.</w:t>
      </w:r>
    </w:p>
    <w:p w:rsidR="006367DC" w:rsidRPr="006D6A37" w:rsidRDefault="006367DC" w:rsidP="0062087A">
      <w:pPr>
        <w:ind w:firstLine="709"/>
        <w:jc w:val="both"/>
        <w:rPr>
          <w:rFonts w:ascii="Spranq eco sans" w:hAnsi="Spranq eco sans"/>
          <w:sz w:val="22"/>
          <w:szCs w:val="22"/>
        </w:rPr>
      </w:pPr>
      <w:r w:rsidRPr="006D6A37">
        <w:rPr>
          <w:rFonts w:ascii="Spranq eco sans" w:hAnsi="Spranq eco sans"/>
          <w:sz w:val="22"/>
          <w:szCs w:val="22"/>
        </w:rPr>
        <w:t xml:space="preserve">São Jerônimo, </w:t>
      </w:r>
      <w:r w:rsidR="000A2332" w:rsidRPr="006D6A37">
        <w:rPr>
          <w:rFonts w:ascii="Spranq eco sans" w:hAnsi="Spranq eco sans"/>
          <w:sz w:val="22"/>
          <w:szCs w:val="22"/>
        </w:rPr>
        <w:t>25 de agosto de 2022</w:t>
      </w:r>
      <w:r w:rsidRPr="006D6A37">
        <w:rPr>
          <w:rFonts w:ascii="Spranq eco sans" w:hAnsi="Spranq eco sans"/>
          <w:sz w:val="22"/>
          <w:szCs w:val="22"/>
        </w:rPr>
        <w:t>.</w:t>
      </w:r>
    </w:p>
    <w:p w:rsidR="00B738DB" w:rsidRPr="006D6A37" w:rsidRDefault="00B738DB" w:rsidP="00FB53D8">
      <w:pPr>
        <w:spacing w:before="120" w:after="120"/>
        <w:ind w:firstLine="709"/>
        <w:jc w:val="both"/>
        <w:rPr>
          <w:rFonts w:ascii="Spranq eco sans" w:hAnsi="Spranq eco sans"/>
          <w:sz w:val="22"/>
          <w:szCs w:val="22"/>
        </w:rPr>
      </w:pPr>
    </w:p>
    <w:p w:rsidR="00B738DB" w:rsidRPr="006D6A37" w:rsidRDefault="000A2332" w:rsidP="007A0284">
      <w:pPr>
        <w:ind w:firstLine="709"/>
        <w:jc w:val="center"/>
        <w:rPr>
          <w:rFonts w:ascii="Spranq eco sans" w:hAnsi="Spranq eco sans"/>
          <w:b/>
          <w:sz w:val="22"/>
          <w:szCs w:val="22"/>
        </w:rPr>
      </w:pPr>
      <w:r w:rsidRPr="006D6A37">
        <w:rPr>
          <w:rFonts w:ascii="Spranq eco sans" w:hAnsi="Spranq eco sans"/>
          <w:b/>
          <w:sz w:val="22"/>
          <w:szCs w:val="22"/>
        </w:rPr>
        <w:t>João Antônio Dias Ávila</w:t>
      </w:r>
    </w:p>
    <w:p w:rsidR="00B738DB" w:rsidRPr="006D6A37" w:rsidRDefault="00B738DB" w:rsidP="007A0284">
      <w:pPr>
        <w:ind w:firstLine="709"/>
        <w:jc w:val="center"/>
        <w:rPr>
          <w:rFonts w:ascii="Spranq eco sans" w:hAnsi="Spranq eco sans"/>
          <w:b/>
          <w:sz w:val="22"/>
          <w:szCs w:val="22"/>
        </w:rPr>
      </w:pPr>
      <w:r w:rsidRPr="006D6A37">
        <w:rPr>
          <w:rFonts w:ascii="Spranq eco sans" w:hAnsi="Spranq eco sans"/>
          <w:b/>
          <w:sz w:val="22"/>
          <w:szCs w:val="22"/>
        </w:rPr>
        <w:t xml:space="preserve">OAB/RS </w:t>
      </w:r>
      <w:r w:rsidR="000A2332" w:rsidRPr="006D6A37">
        <w:rPr>
          <w:rFonts w:ascii="Spranq eco sans" w:hAnsi="Spranq eco sans"/>
          <w:b/>
          <w:sz w:val="22"/>
          <w:szCs w:val="22"/>
        </w:rPr>
        <w:t>91.881</w:t>
      </w:r>
    </w:p>
    <w:p w:rsidR="00B957A7" w:rsidRPr="006D6A37" w:rsidRDefault="00B957A7" w:rsidP="007A0284">
      <w:pPr>
        <w:ind w:firstLine="709"/>
        <w:jc w:val="center"/>
        <w:rPr>
          <w:sz w:val="22"/>
          <w:szCs w:val="22"/>
        </w:rPr>
      </w:pPr>
      <w:r w:rsidRPr="006D6A37">
        <w:rPr>
          <w:rFonts w:ascii="Spranq eco sans" w:hAnsi="Spranq eco sans"/>
          <w:b/>
          <w:sz w:val="22"/>
          <w:szCs w:val="22"/>
        </w:rPr>
        <w:t>Procurador do Município</w:t>
      </w:r>
    </w:p>
    <w:sectPr w:rsidR="00B957A7" w:rsidRPr="006D6A37" w:rsidSect="0036696C">
      <w:headerReference w:type="default" r:id="rId8"/>
      <w:footerReference w:type="default" r:id="rId9"/>
      <w:pgSz w:w="12240" w:h="15840"/>
      <w:pgMar w:top="1440" w:right="1440" w:bottom="1440" w:left="1800" w:header="567" w:footer="3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07" w:rsidRDefault="00A12C07">
      <w:r>
        <w:separator/>
      </w:r>
    </w:p>
  </w:endnote>
  <w:endnote w:type="continuationSeparator" w:id="0">
    <w:p w:rsidR="00A12C07" w:rsidRDefault="00A1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B" w:rsidRDefault="00E746BB">
    <w:pPr>
      <w:pStyle w:val="Rodap"/>
      <w:ind w:left="833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Fone/Fax.: (51)  3651-1744 - E-mail: </w:t>
    </w:r>
    <w:hyperlink r:id="rId1" w:history="1">
      <w:r w:rsidRPr="005F37C6">
        <w:rPr>
          <w:rStyle w:val="Hyperlink"/>
          <w:rFonts w:ascii="Arial" w:hAnsi="Arial"/>
          <w:b/>
          <w:sz w:val="18"/>
        </w:rPr>
        <w:t>juridico@saojeronimo.rs.gov.br</w:t>
      </w:r>
    </w:hyperlink>
  </w:p>
  <w:p w:rsidR="00E746BB" w:rsidRDefault="00E746BB">
    <w:pPr>
      <w:pStyle w:val="Rodap"/>
      <w:ind w:left="833"/>
      <w:jc w:val="center"/>
    </w:pPr>
    <w:r>
      <w:rPr>
        <w:rFonts w:ascii="Arial" w:hAnsi="Arial"/>
        <w:b/>
        <w:sz w:val="18"/>
      </w:rPr>
      <w:t>CNPJ 88.117.700/0001-01 - Rua Cel. Soares de Carvalho, 558 - São Jerônimo - RS</w:t>
    </w:r>
  </w:p>
  <w:p w:rsidR="00E746BB" w:rsidRDefault="00E746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07" w:rsidRDefault="00A12C07">
      <w:r>
        <w:separator/>
      </w:r>
    </w:p>
  </w:footnote>
  <w:footnote w:type="continuationSeparator" w:id="0">
    <w:p w:rsidR="00A12C07" w:rsidRDefault="00A12C07">
      <w:r>
        <w:continuationSeparator/>
      </w:r>
    </w:p>
  </w:footnote>
  <w:footnote w:id="1">
    <w:p w:rsidR="00156AD8" w:rsidRDefault="00156AD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50E40">
        <w:rPr>
          <w:rFonts w:ascii="Spranq eco sans" w:hAnsi="Spranq eco sans"/>
          <w:sz w:val="18"/>
        </w:rPr>
        <w:t xml:space="preserve">JUSTEN FILHO, MARÇAL. </w:t>
      </w:r>
      <w:r w:rsidRPr="00350E40">
        <w:rPr>
          <w:rFonts w:ascii="Spranq eco sans" w:hAnsi="Spranq eco sans"/>
          <w:b/>
          <w:sz w:val="18"/>
        </w:rPr>
        <w:t xml:space="preserve">Comentários à lei de licitações e contratos administrativos. </w:t>
      </w:r>
      <w:r w:rsidRPr="00350E40">
        <w:rPr>
          <w:rFonts w:ascii="Spranq eco sans" w:hAnsi="Spranq eco sans"/>
          <w:sz w:val="18"/>
        </w:rPr>
        <w:t xml:space="preserve">17 ed. São </w:t>
      </w:r>
      <w:proofErr w:type="gramStart"/>
      <w:r w:rsidRPr="00350E40">
        <w:rPr>
          <w:rFonts w:ascii="Spranq eco sans" w:hAnsi="Spranq eco sans"/>
          <w:sz w:val="18"/>
        </w:rPr>
        <w:t>Paulo :</w:t>
      </w:r>
      <w:proofErr w:type="gramEnd"/>
      <w:r w:rsidRPr="00350E40">
        <w:rPr>
          <w:rFonts w:ascii="Spranq eco sans" w:hAnsi="Spranq eco sans"/>
          <w:sz w:val="18"/>
        </w:rPr>
        <w:t xml:space="preserve"> Revi</w:t>
      </w:r>
      <w:r>
        <w:rPr>
          <w:rFonts w:ascii="Spranq eco sans" w:hAnsi="Spranq eco sans"/>
          <w:sz w:val="18"/>
        </w:rPr>
        <w:t xml:space="preserve">sta dos Tribunais, 2016. </w:t>
      </w:r>
    </w:p>
  </w:footnote>
  <w:footnote w:id="2">
    <w:p w:rsidR="003F719F" w:rsidRPr="002F3917" w:rsidRDefault="003F719F" w:rsidP="002F3917">
      <w:pPr>
        <w:pStyle w:val="Textodenotaderodap"/>
        <w:jc w:val="both"/>
        <w:rPr>
          <w:rFonts w:ascii="Spranq eco sans" w:hAnsi="Spranq eco sans"/>
        </w:rPr>
      </w:pPr>
      <w:r w:rsidRPr="002F3917">
        <w:rPr>
          <w:rStyle w:val="Refdenotaderodap"/>
          <w:rFonts w:ascii="Spranq eco sans" w:hAnsi="Spranq eco sans"/>
        </w:rPr>
        <w:footnoteRef/>
      </w:r>
      <w:r w:rsidRPr="002F3917">
        <w:rPr>
          <w:rFonts w:ascii="Spranq eco sans" w:hAnsi="Spranq eco sans"/>
        </w:rPr>
        <w:t xml:space="preserve"> </w:t>
      </w:r>
      <w:proofErr w:type="spellStart"/>
      <w:r w:rsidRPr="002F3917">
        <w:rPr>
          <w:rFonts w:ascii="Spranq eco sans" w:hAnsi="Spranq eco sans"/>
        </w:rPr>
        <w:t>Mazza</w:t>
      </w:r>
      <w:proofErr w:type="spellEnd"/>
      <w:r w:rsidRPr="002F3917">
        <w:rPr>
          <w:rFonts w:ascii="Spranq eco sans" w:hAnsi="Spranq eco sans"/>
        </w:rPr>
        <w:t>, Alexandre. Manual de direito administrativo – 6. ed. – São Paulo: Saraiva, 2016.</w:t>
      </w:r>
    </w:p>
  </w:footnote>
  <w:footnote w:id="3">
    <w:p w:rsidR="003875A6" w:rsidRPr="002F3917" w:rsidRDefault="003875A6" w:rsidP="002F3917">
      <w:pPr>
        <w:pStyle w:val="Textodenotaderodap"/>
        <w:jc w:val="both"/>
        <w:rPr>
          <w:rFonts w:ascii="Spranq eco sans" w:hAnsi="Spranq eco sans"/>
        </w:rPr>
      </w:pPr>
      <w:r w:rsidRPr="002F3917">
        <w:rPr>
          <w:rStyle w:val="Refdenotaderodap"/>
          <w:rFonts w:ascii="Spranq eco sans" w:hAnsi="Spranq eco sans"/>
        </w:rPr>
        <w:footnoteRef/>
      </w:r>
      <w:r w:rsidRPr="002F3917">
        <w:rPr>
          <w:rFonts w:ascii="Spranq eco sans" w:hAnsi="Spranq eco sans"/>
        </w:rPr>
        <w:t xml:space="preserve"> Carvalho Filho, José dos Santos Manual de direito administrativo– 30. ed. </w:t>
      </w:r>
      <w:proofErr w:type="spellStart"/>
      <w:proofErr w:type="gramStart"/>
      <w:r w:rsidRPr="002F3917">
        <w:rPr>
          <w:rFonts w:ascii="Spranq eco sans" w:hAnsi="Spranq eco sans"/>
        </w:rPr>
        <w:t>rev.,atual</w:t>
      </w:r>
      <w:proofErr w:type="spellEnd"/>
      <w:proofErr w:type="gramEnd"/>
      <w:r w:rsidRPr="002F3917">
        <w:rPr>
          <w:rFonts w:ascii="Spranq eco sans" w:hAnsi="Spranq eco sans"/>
        </w:rPr>
        <w:t xml:space="preserve">. </w:t>
      </w:r>
      <w:proofErr w:type="gramStart"/>
      <w:r w:rsidRPr="002F3917">
        <w:rPr>
          <w:rFonts w:ascii="Spranq eco sans" w:hAnsi="Spranq eco sans"/>
        </w:rPr>
        <w:t>e</w:t>
      </w:r>
      <w:proofErr w:type="gramEnd"/>
      <w:r w:rsidRPr="002F3917">
        <w:rPr>
          <w:rFonts w:ascii="Spranq eco sans" w:hAnsi="Spranq eco sans"/>
        </w:rPr>
        <w:t xml:space="preserve"> </w:t>
      </w:r>
      <w:proofErr w:type="spellStart"/>
      <w:r w:rsidRPr="002F3917">
        <w:rPr>
          <w:rFonts w:ascii="Spranq eco sans" w:hAnsi="Spranq eco sans"/>
        </w:rPr>
        <w:t>ampl</w:t>
      </w:r>
      <w:proofErr w:type="spellEnd"/>
      <w:r w:rsidRPr="002F3917">
        <w:rPr>
          <w:rFonts w:ascii="Spranq eco sans" w:hAnsi="Spranq eco sans"/>
        </w:rPr>
        <w:t>. – São Paulo: Atlas,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8"/>
      <w:gridCol w:w="7373"/>
    </w:tblGrid>
    <w:tr w:rsidR="00E746BB" w:rsidTr="00EE44CB">
      <w:trPr>
        <w:trHeight w:val="564"/>
      </w:trPr>
      <w:tc>
        <w:tcPr>
          <w:tcW w:w="1558" w:type="dxa"/>
        </w:tcPr>
        <w:p w:rsidR="00E746BB" w:rsidRDefault="00E746BB">
          <w:pPr>
            <w:pStyle w:val="Endereodoremetente"/>
            <w:jc w:val="left"/>
          </w:pPr>
          <w:r w:rsidRPr="006D06D5">
            <w:rPr>
              <w:noProof/>
              <w:lang w:eastAsia="pt-BR"/>
            </w:rPr>
            <w:drawing>
              <wp:inline distT="0" distB="0" distL="0" distR="0">
                <wp:extent cx="978612" cy="819303"/>
                <wp:effectExtent l="0" t="0" r="0" b="0"/>
                <wp:docPr id="26" name="Imagem 2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590" cy="823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vAlign w:val="center"/>
        </w:tcPr>
        <w:p w:rsidR="00E746BB" w:rsidRPr="00AD7352" w:rsidRDefault="00E746BB" w:rsidP="00EE44CB">
          <w:pPr>
            <w:pStyle w:val="Sumrio1"/>
            <w:jc w:val="center"/>
            <w:rPr>
              <w:sz w:val="24"/>
              <w:szCs w:val="24"/>
            </w:rPr>
          </w:pPr>
          <w:r w:rsidRPr="00AD7352">
            <w:rPr>
              <w:sz w:val="24"/>
              <w:szCs w:val="24"/>
            </w:rPr>
            <w:t>PREFEITURA MUNICIPAL DE SÃO JERÔNIMO – RS</w:t>
          </w:r>
        </w:p>
        <w:p w:rsidR="00E746BB" w:rsidRPr="009E6BE8" w:rsidRDefault="00E746BB" w:rsidP="00EE44CB">
          <w:pPr>
            <w:jc w:val="center"/>
            <w:rPr>
              <w:rFonts w:ascii="CountryBlueprint" w:hAnsi="CountryBlueprint"/>
              <w:sz w:val="24"/>
              <w:szCs w:val="24"/>
            </w:rPr>
          </w:pPr>
          <w:r w:rsidRPr="00AD7352">
            <w:rPr>
              <w:rFonts w:ascii="Arial" w:hAnsi="Arial" w:cs="Arial"/>
              <w:b/>
              <w:sz w:val="24"/>
              <w:szCs w:val="24"/>
            </w:rPr>
            <w:t>PROCURADORIA DO MUNICÍPIO</w:t>
          </w:r>
        </w:p>
      </w:tc>
    </w:tr>
  </w:tbl>
  <w:p w:rsidR="00E746BB" w:rsidRDefault="00A839A5" w:rsidP="00EE44CB">
    <w:pPr>
      <w:pStyle w:val="Cabealho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49A"/>
    <w:multiLevelType w:val="hybridMultilevel"/>
    <w:tmpl w:val="2E444CAC"/>
    <w:lvl w:ilvl="0" w:tplc="9792456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0C03D2"/>
    <w:multiLevelType w:val="hybridMultilevel"/>
    <w:tmpl w:val="A4CCCD8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C"/>
    <w:rsid w:val="00015130"/>
    <w:rsid w:val="00067DAA"/>
    <w:rsid w:val="00087913"/>
    <w:rsid w:val="000935F8"/>
    <w:rsid w:val="000A2332"/>
    <w:rsid w:val="000B6018"/>
    <w:rsid w:val="000B6864"/>
    <w:rsid w:val="00100F67"/>
    <w:rsid w:val="00114320"/>
    <w:rsid w:val="00116554"/>
    <w:rsid w:val="00131169"/>
    <w:rsid w:val="00156AD8"/>
    <w:rsid w:val="00177BC1"/>
    <w:rsid w:val="00186F97"/>
    <w:rsid w:val="0020531B"/>
    <w:rsid w:val="00210251"/>
    <w:rsid w:val="00243DEC"/>
    <w:rsid w:val="00247D21"/>
    <w:rsid w:val="00293AC4"/>
    <w:rsid w:val="002948AA"/>
    <w:rsid w:val="002C7096"/>
    <w:rsid w:val="002F3917"/>
    <w:rsid w:val="002F747C"/>
    <w:rsid w:val="00305364"/>
    <w:rsid w:val="003468E3"/>
    <w:rsid w:val="0036696C"/>
    <w:rsid w:val="00375F3E"/>
    <w:rsid w:val="003875A6"/>
    <w:rsid w:val="00390485"/>
    <w:rsid w:val="003A5563"/>
    <w:rsid w:val="003B16CC"/>
    <w:rsid w:val="003F719F"/>
    <w:rsid w:val="00427422"/>
    <w:rsid w:val="00434A32"/>
    <w:rsid w:val="00457EEB"/>
    <w:rsid w:val="00503EA5"/>
    <w:rsid w:val="00547DB1"/>
    <w:rsid w:val="00557533"/>
    <w:rsid w:val="00562D9E"/>
    <w:rsid w:val="005710D7"/>
    <w:rsid w:val="005C4EC7"/>
    <w:rsid w:val="005D472A"/>
    <w:rsid w:val="00602751"/>
    <w:rsid w:val="00615DD0"/>
    <w:rsid w:val="0062087A"/>
    <w:rsid w:val="006367DC"/>
    <w:rsid w:val="00657AFF"/>
    <w:rsid w:val="006829B2"/>
    <w:rsid w:val="006D483B"/>
    <w:rsid w:val="006D6A37"/>
    <w:rsid w:val="007835AB"/>
    <w:rsid w:val="00784A45"/>
    <w:rsid w:val="007A0284"/>
    <w:rsid w:val="007B0D7B"/>
    <w:rsid w:val="007B1554"/>
    <w:rsid w:val="007B6B03"/>
    <w:rsid w:val="007D3AFE"/>
    <w:rsid w:val="007E5CCD"/>
    <w:rsid w:val="007F030C"/>
    <w:rsid w:val="00814A50"/>
    <w:rsid w:val="0086227F"/>
    <w:rsid w:val="00882343"/>
    <w:rsid w:val="008C2C12"/>
    <w:rsid w:val="009301F8"/>
    <w:rsid w:val="00932D0B"/>
    <w:rsid w:val="00966414"/>
    <w:rsid w:val="009705A0"/>
    <w:rsid w:val="009B50CE"/>
    <w:rsid w:val="009E5A59"/>
    <w:rsid w:val="00A12C07"/>
    <w:rsid w:val="00A13413"/>
    <w:rsid w:val="00A7169F"/>
    <w:rsid w:val="00A81D31"/>
    <w:rsid w:val="00A839A5"/>
    <w:rsid w:val="00B00D83"/>
    <w:rsid w:val="00B119ED"/>
    <w:rsid w:val="00B20E68"/>
    <w:rsid w:val="00B3204D"/>
    <w:rsid w:val="00B738DB"/>
    <w:rsid w:val="00B8608B"/>
    <w:rsid w:val="00B957A7"/>
    <w:rsid w:val="00BA7B09"/>
    <w:rsid w:val="00BE230C"/>
    <w:rsid w:val="00C37FC9"/>
    <w:rsid w:val="00C40BD3"/>
    <w:rsid w:val="00C53D22"/>
    <w:rsid w:val="00C671E6"/>
    <w:rsid w:val="00C72D9C"/>
    <w:rsid w:val="00C806F0"/>
    <w:rsid w:val="00C82EA9"/>
    <w:rsid w:val="00CE2C7E"/>
    <w:rsid w:val="00CE3D4B"/>
    <w:rsid w:val="00D3304C"/>
    <w:rsid w:val="00D33E0F"/>
    <w:rsid w:val="00D36E04"/>
    <w:rsid w:val="00DE406C"/>
    <w:rsid w:val="00E746BB"/>
    <w:rsid w:val="00EA7C75"/>
    <w:rsid w:val="00EE44CB"/>
    <w:rsid w:val="00F12E17"/>
    <w:rsid w:val="00F34AF9"/>
    <w:rsid w:val="00F479B4"/>
    <w:rsid w:val="00F56A47"/>
    <w:rsid w:val="00F94B34"/>
    <w:rsid w:val="00FA53AF"/>
    <w:rsid w:val="00FB4ABE"/>
    <w:rsid w:val="00FB53D8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133CAA6-8BB7-419C-9889-FA18AB6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7C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747C"/>
    <w:pPr>
      <w:jc w:val="center"/>
    </w:pPr>
    <w:rPr>
      <w:b/>
      <w:u w:val="single"/>
    </w:rPr>
  </w:style>
  <w:style w:type="character" w:customStyle="1" w:styleId="TtuloChar">
    <w:name w:val="Título Char"/>
    <w:link w:val="Ttulo"/>
    <w:rsid w:val="002F747C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F747C"/>
    <w:pPr>
      <w:ind w:left="4395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2F74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F74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F7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747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2F7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2F747C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2F747C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character" w:styleId="Hyperlink">
    <w:name w:val="Hyperlink"/>
    <w:rsid w:val="002F747C"/>
    <w:rPr>
      <w:noProof w:val="0"/>
      <w:color w:val="0000FF"/>
      <w:u w:val="single"/>
      <w:lang w:val="pt-BR" w:bidi="ar-SA"/>
    </w:rPr>
  </w:style>
  <w:style w:type="paragraph" w:customStyle="1" w:styleId="PargrafoNormal">
    <w:name w:val="Parágrafo Normal"/>
    <w:basedOn w:val="Normal"/>
    <w:link w:val="PargrafoNormalChar"/>
    <w:rsid w:val="006367DC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link w:val="PargrafoNormal"/>
    <w:locked/>
    <w:rsid w:val="006367DC"/>
    <w:rPr>
      <w:rFonts w:ascii="Arial" w:eastAsia="Times New Roman" w:hAnsi="Arial" w:cs="Arial"/>
      <w:sz w:val="24"/>
      <w:szCs w:val="24"/>
    </w:rPr>
  </w:style>
  <w:style w:type="character" w:customStyle="1" w:styleId="firstementa">
    <w:name w:val="firstementa"/>
    <w:rsid w:val="006367DC"/>
  </w:style>
  <w:style w:type="character" w:customStyle="1" w:styleId="hiddensecondementa">
    <w:name w:val="hidden secondementa"/>
    <w:rsid w:val="006367DC"/>
  </w:style>
  <w:style w:type="character" w:customStyle="1" w:styleId="marcapalavra">
    <w:name w:val="marca_palavra"/>
    <w:rsid w:val="006367DC"/>
  </w:style>
  <w:style w:type="character" w:styleId="Refdenotaderodap">
    <w:name w:val="footnote reference"/>
    <w:semiHidden/>
    <w:rsid w:val="006367DC"/>
    <w:rPr>
      <w:vertAlign w:val="superscript"/>
    </w:rPr>
  </w:style>
  <w:style w:type="paragraph" w:styleId="Textodenotaderodap">
    <w:name w:val="footnote text"/>
    <w:aliases w:val="Char Char,Char"/>
    <w:basedOn w:val="Normal"/>
    <w:link w:val="TextodenotaderodapChar"/>
    <w:rsid w:val="006367DC"/>
  </w:style>
  <w:style w:type="character" w:customStyle="1" w:styleId="TextodenotaderodapChar">
    <w:name w:val="Texto de nota de rodapé Char"/>
    <w:aliases w:val="Char Char Char,Char Char1"/>
    <w:basedOn w:val="Fontepargpadro"/>
    <w:link w:val="Textodenotaderodap"/>
    <w:rsid w:val="006367DC"/>
    <w:rPr>
      <w:rFonts w:ascii="Times New Roman" w:eastAsia="Times New Roman" w:hAnsi="Times New Roman"/>
    </w:rPr>
  </w:style>
  <w:style w:type="paragraph" w:customStyle="1" w:styleId="copyright4a">
    <w:name w:val="copyright4a"/>
    <w:basedOn w:val="Normal"/>
    <w:rsid w:val="007D3AF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54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8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79B4"/>
    <w:pPr>
      <w:ind w:left="720"/>
      <w:contextualSpacing/>
    </w:pPr>
  </w:style>
  <w:style w:type="paragraph" w:styleId="Citao">
    <w:name w:val="Quote"/>
    <w:basedOn w:val="Normal"/>
    <w:link w:val="CitaoChar"/>
    <w:qFormat/>
    <w:rsid w:val="003F719F"/>
    <w:pPr>
      <w:spacing w:after="60"/>
      <w:ind w:left="2835"/>
      <w:jc w:val="both"/>
    </w:pPr>
    <w:rPr>
      <w:rFonts w:ascii="Ecofont Vera Sans" w:hAnsi="Ecofont Vera Sans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3F719F"/>
    <w:rPr>
      <w:rFonts w:ascii="Ecofont Vera Sans" w:eastAsia="Times New Roman" w:hAnsi="Ecofont Vera Sans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idic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F9F7-572C-4418-A5CB-D866801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5377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mailto:juridico@saojeronimo.rs.gov.br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- Jurídico</dc:creator>
  <cp:keywords/>
  <dc:description/>
  <cp:lastModifiedBy>Catia - Licitações</cp:lastModifiedBy>
  <cp:revision>2</cp:revision>
  <cp:lastPrinted>2020-10-09T13:33:00Z</cp:lastPrinted>
  <dcterms:created xsi:type="dcterms:W3CDTF">2022-08-26T18:21:00Z</dcterms:created>
  <dcterms:modified xsi:type="dcterms:W3CDTF">2022-08-26T18:21:00Z</dcterms:modified>
</cp:coreProperties>
</file>